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7EF" w:rsidRPr="00A767EF" w:rsidRDefault="00A767EF" w:rsidP="00A767EF">
      <w:pPr>
        <w:shd w:val="clear" w:color="auto" w:fill="FFFFFF"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color w:val="0000FF"/>
          <w:kern w:val="36"/>
          <w:sz w:val="48"/>
          <w:szCs w:val="48"/>
          <w:lang w:eastAsia="ru-RU"/>
        </w:rPr>
      </w:pPr>
      <w:r w:rsidRPr="00A767E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Условия работы очистных сооружений городской канализации</w:t>
      </w:r>
    </w:p>
    <w:p w:rsidR="00A767EF" w:rsidRPr="00A767EF" w:rsidRDefault="00A767EF" w:rsidP="00A767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767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tbl>
      <w:tblPr>
        <w:tblW w:w="5000" w:type="pct"/>
        <w:jc w:val="center"/>
        <w:tblCellSpacing w:w="42" w:type="dxa"/>
        <w:tblInd w:w="-11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9"/>
      </w:tblGrid>
      <w:tr w:rsidR="00A767EF" w:rsidRPr="00A767EF" w:rsidTr="00A767EF">
        <w:trPr>
          <w:tblCellSpacing w:w="42" w:type="dxa"/>
          <w:jc w:val="center"/>
        </w:trPr>
        <w:tc>
          <w:tcPr>
            <w:tcW w:w="4915" w:type="pct"/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Эффективность очистки сточных вод городской канализации определяется условиями спуска загрязненных вод в водоемы. Городское канализационное хозяйство выступает в качестве основной организации, принимающей на отведение и очистку сточные воды предприятий промышленности и несущей всю полноту ответственности за сброс очищенной воды в водоемы. Такой принцип устанавливают «Правила приема производственных сточных вод в системы канализации населенных пунктов» [19]. </w:t>
            </w:r>
            <w:proofErr w:type="gram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Изложенные в «Правилах» положения относятся главным образом к полной раздельной системе </w:t>
            </w:r>
            <w:proofErr w:type="spell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канализования</w:t>
            </w:r>
            <w:proofErr w:type="spell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объекта, поскольку в них не установлены принципы расчета допустимых сбросов загрязнений в дождевых водах, не установлена степень загрязненности вредными компонентами части, перехватываемой городской канализационной сетью дождевых вод и той части, которая направляется в водоем, отсутствуют данные по расчету степени очистки дождевых вод в сооружениях по накоплению и очистке</w:t>
            </w:r>
            <w:proofErr w:type="gram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стоков.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 полной раздельной системе </w:t>
            </w:r>
            <w:proofErr w:type="spell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канализования</w:t>
            </w:r>
            <w:proofErr w:type="spell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поверхностный сток с территории промышленных площадок не допускается сбрасывать в городские сети. Этот поток должен отводиться в водоем самостоятельной сетью и очищаться до установленных нормативов [5]. В случае значительной загрязненности, серьезно влияющей на условия сброса сточных вод всех видов в данный водоем, к поверхностному стоку предъявляют такие же требования, как и к производственным сточным водам.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Допустимая концентрация вредных примесей устанавливается в следующей последовательности. </w:t>
            </w:r>
            <w:proofErr w:type="gram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 условиям сброса сточных вод в водоемы (см. «Методические указания по применению правил охраны поверхностных вод от загрязнения сточными водами» [131) определяется кратность разбавления очищенных стоков в водном объекте п.</w:t>
            </w:r>
            <w:proofErr w:type="gramEnd"/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Более логично распределять между предприятиями предельно допустимые сбросы количества загрязнений, учитывая мощности предприятий, уровень совершенства технологического процесса и водного хозяйства и руководствуясь необходимостью выполнения    приведенного   выше   условия.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тех случаях, когда осадок сточных вод используется в качестве удобрения, значение</w:t>
            </w:r>
            <w:proofErr w:type="gram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</w:t>
            </w:r>
            <w:proofErr w:type="gram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снижается на величину К в соответствии с расчетной концентрацией данного вещества в осадке. Величина</w:t>
            </w:r>
            <w:proofErr w:type="gram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К</w:t>
            </w:r>
            <w:proofErr w:type="gram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приводится в приложениях к «Правилам».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Общие требования к составу смеси сточных вод, поступающей на очистку, вытекают из условий сброса производственных стоков, количество </w:t>
            </w: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которых может максимально достигать 50—60 % от общего расхода. В этом случае температура смеси не превысит в летнее время 30</w:t>
            </w:r>
            <w:proofErr w:type="gram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°С</w:t>
            </w:r>
            <w:proofErr w:type="gram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(допускаемая для производственных вод температура 40 °С), рН не выйдет за пределы 6,5—8,5 (для </w:t>
            </w:r>
            <w:proofErr w:type="spell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промстоков</w:t>
            </w:r>
            <w:proofErr w:type="spell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6,5—9), ХПК не превысит ВПК более, чем в 1,4 раза (для </w:t>
            </w:r>
            <w:proofErr w:type="spell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промстоков</w:t>
            </w:r>
            <w:proofErr w:type="spell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не более чем в 1,5 раза). Обычным для эксплуатации сооружений биологической очистки является соотношение ВПК: азот: фосфор как 100</w:t>
            </w:r>
            <w:proofErr w:type="gram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:</w:t>
            </w:r>
            <w:proofErr w:type="gram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5 : 1, причем ВПК исчисляется в осветленной пробе.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 соотношению биогенных элементов в бытовых стоках </w:t>
            </w:r>
            <w:proofErr w:type="gramStart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разбавление</w:t>
            </w:r>
            <w:proofErr w:type="gramEnd"/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а 2 раза производственными водами, даже лишенными азота и фосфора, позволяет успешно вести процесс биологической очистки.</w:t>
            </w:r>
          </w:p>
          <w:p w:rsidR="00A767EF" w:rsidRPr="00A767EF" w:rsidRDefault="00A767EF" w:rsidP="00A767E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A767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Обеспечение нормальных условий эксплуатации очистных станций в первую очередь зависит от соблюдения технологического режима на промышленных предприятиях. В связи с этим на передний план выдвигаются четкий учет расходования, сброса, утилизации и ликвидации материалов и реагентов на производстве, что отражено в паспорте водного хозяйства.</w:t>
            </w:r>
          </w:p>
        </w:tc>
        <w:bookmarkStart w:id="0" w:name="_GoBack"/>
        <w:bookmarkEnd w:id="0"/>
      </w:tr>
    </w:tbl>
    <w:p w:rsidR="007C30A0" w:rsidRDefault="007C30A0"/>
    <w:sectPr w:rsidR="007C3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26F" w:rsidRDefault="00ED426F" w:rsidP="00A767EF">
      <w:pPr>
        <w:spacing w:after="0" w:line="240" w:lineRule="auto"/>
      </w:pPr>
      <w:r>
        <w:separator/>
      </w:r>
    </w:p>
  </w:endnote>
  <w:endnote w:type="continuationSeparator" w:id="0">
    <w:p w:rsidR="00ED426F" w:rsidRDefault="00ED426F" w:rsidP="00A76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26F" w:rsidRDefault="00ED426F" w:rsidP="00A767EF">
      <w:pPr>
        <w:spacing w:after="0" w:line="240" w:lineRule="auto"/>
      </w:pPr>
      <w:r>
        <w:separator/>
      </w:r>
    </w:p>
  </w:footnote>
  <w:footnote w:type="continuationSeparator" w:id="0">
    <w:p w:rsidR="00ED426F" w:rsidRDefault="00ED426F" w:rsidP="00A767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D7F"/>
    <w:rsid w:val="007C30A0"/>
    <w:rsid w:val="00A767EF"/>
    <w:rsid w:val="00AF0D7F"/>
    <w:rsid w:val="00ED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67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67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A76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67EF"/>
  </w:style>
  <w:style w:type="paragraph" w:styleId="a5">
    <w:name w:val="footer"/>
    <w:basedOn w:val="a"/>
    <w:link w:val="a6"/>
    <w:uiPriority w:val="99"/>
    <w:unhideWhenUsed/>
    <w:rsid w:val="00A76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67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67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67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A76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67EF"/>
  </w:style>
  <w:style w:type="paragraph" w:styleId="a5">
    <w:name w:val="footer"/>
    <w:basedOn w:val="a"/>
    <w:link w:val="a6"/>
    <w:uiPriority w:val="99"/>
    <w:unhideWhenUsed/>
    <w:rsid w:val="00A76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6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511</Words>
  <Characters>2918</Characters>
  <Application>Microsoft Office Word</Application>
  <DocSecurity>0</DocSecurity>
  <Lines>24</Lines>
  <Paragraphs>6</Paragraphs>
  <ScaleCrop>false</ScaleCrop>
  <Company>Home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2021-01-18T15:01:00Z</dcterms:created>
  <dcterms:modified xsi:type="dcterms:W3CDTF">2021-01-18T15:04:00Z</dcterms:modified>
</cp:coreProperties>
</file>